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360"/>
        <w:jc w:val="center"/>
      </w:pPr>
      <w:r>
        <w:rPr>
          <w:rFonts w:ascii="Arial Unicode MS" w:hAnsi="Arial Unicode MS" w:eastAsia="Arial Unicode MS"/>
          <w:b/>
          <w:i w:val="0"/>
          <w:color w:val="087F75"/>
          <w:sz w:val="22"/>
        </w:rPr>
        <w:t>上海市东方医院 · 东方访客通</w:t>
      </w:r>
    </w:p>
    <w:p>
      <w:pPr>
        <w:keepNext/>
        <w:spacing w:after="200"/>
        <w:jc w:val="center"/>
      </w:pPr>
      <w:r>
        <w:rPr>
          <w:rFonts w:ascii="Arial Unicode MS" w:hAnsi="Arial Unicode MS" w:eastAsia="Arial Unicode MS"/>
          <w:b/>
          <w:i w:val="0"/>
          <w:color w:val="173F4D"/>
          <w:sz w:val="56"/>
        </w:rPr>
        <w:t>系统管理员操作说明</w:t>
      </w:r>
    </w:p>
    <w:p>
      <w:pPr>
        <w:spacing w:after="480"/>
        <w:jc w:val="center"/>
      </w:pPr>
      <w:r>
        <w:rPr>
          <w:rFonts w:ascii="Arial Unicode MS" w:hAnsi="Arial Unicode MS" w:eastAsia="Arial Unicode MS"/>
          <w:b w:val="0"/>
          <w:i w:val="0"/>
          <w:color w:val="1F4D78"/>
          <w:sz w:val="26"/>
        </w:rPr>
        <w:t>行风管理员及经医院授权的系统管理人员</w:t>
      </w:r>
    </w:p>
    <w:p>
      <w:pPr>
        <w:spacing w:after="440"/>
        <w:pBdr>
          <w:bottom w:val="single" w:sz="16" w:space="1" w:color="087F75"/>
        </w:pBdr>
      </w:pPr>
    </w:p>
    <w:p>
      <w:pPr>
        <w:spacing w:after="360"/>
        <w:ind w:left="648" w:right="648"/>
        <w:jc w:val="center"/>
      </w:pPr>
      <w:r>
        <w:rPr>
          <w:rFonts w:ascii="Arial Unicode MS" w:hAnsi="Arial Unicode MS" w:eastAsia="Arial Unicode MS"/>
          <w:b/>
          <w:i w:val="0"/>
          <w:color w:val="17313D"/>
          <w:sz w:val="24"/>
        </w:rPr>
        <w:t>全院管理（南北两院），负责登记核验、流程监督、接待台账、账号权限、科室字典和系统状态。</w:t>
      </w:r>
    </w:p>
    <w:p>
      <w:pPr>
        <w:spacing w:after="0"/>
        <w:jc w:val="center"/>
      </w:pPr>
      <w:r>
        <w:rPr>
          <w:rFonts w:ascii="Arial Unicode MS" w:hAnsi="Arial Unicode MS" w:eastAsia="Arial Unicode MS"/>
          <w:b w:val="0"/>
          <w:i w:val="0"/>
          <w:color w:val="667985"/>
          <w:sz w:val="20"/>
        </w:rPr>
        <w:t>版本 V1.0  |  2026年7月  |  正式系统操作参考</w:t>
      </w:r>
    </w:p>
    <w:p>
      <w:r>
        <w:br w:type="page"/>
      </w:r>
    </w:p>
    <w:p>
      <w:pPr>
        <w:pStyle w:val="Heading1"/>
      </w:pPr>
      <w:r>
        <w:t>1. 岗位定位与登录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适用人员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行风管理员及经医院授权的系统管理人员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登录入口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https://dfyy.allcxq.xyz/login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登录方式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使用管理员账号或已绑定手机号登录；首次登录必须修改临时密码，新密码至少8位并同时包含字母和数字。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权限范围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全院管理（南北两院），负责登记核验、流程监督、接待台账、账号权限、科室字典和系统状态。</w:t>
            </w:r>
          </w:p>
        </w:tc>
      </w:tr>
    </w:tbl>
    <w:p>
      <w:pPr>
        <w:spacing w:after="40"/>
      </w:pPr>
    </w:p>
    <w:p>
      <w:pPr>
        <w:spacing w:after="100" w:line="300" w:lineRule="auto" w:before="80"/>
        <w:shd w:fill="E5F5F1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首次登录安全要求：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临时密码由管理员单独交付，不在公共手册中展示。首次登录必须修改密码，新密码至少8位并同时包含字母和数字。</w:t>
      </w:r>
    </w:p>
    <w:p>
      <w:pPr>
        <w:pStyle w:val="Heading1"/>
      </w:pPr>
      <w:r>
        <w:t>2. 登录后先检查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确认页面左下角显示“当前院区：全院管理（南北两院）”。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在“工作总览”检查待核验登记、待办审批、当前在院和异常提醒。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检查异常资料和流程卡滞事项，再处理账号、科室等维护工作。T-01应直接进入药学部，不由管理员做前置核验。</w:t>
      </w:r>
    </w:p>
    <w:p>
      <w:pPr>
        <w:pStyle w:val="Heading1"/>
      </w:pPr>
      <w:r>
        <w:t>3. 左侧菜单说明</w:t>
      </w:r>
    </w:p>
    <w:p>
      <w:pPr>
        <w:pStyle w:val="Heading2"/>
      </w:pPr>
      <w:r>
        <w:t>工作总览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查看当日预约、待审批、待核验、当前在院和流程闭环情况。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点击待办卡片进入登记审核或备案核验；使用右侧日程查看当日接待安排。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总览用于发现问题，不替代各部门的正式审批。</w:t>
      </w:r>
    </w:p>
    <w:p>
      <w:pPr>
        <w:pStyle w:val="Heading2"/>
      </w:pPr>
      <w:r>
        <w:t>登记审核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查看来访人员的姓名、手机号、身份证号、单位名称和备案号。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按姓名、企业或备案号搜索；打开“核验”检查资料；必要时使用“新增登记”代录特殊申请。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访客原则上自行注册，管理员只在特殊情况下代录。</w:t>
      </w:r>
    </w:p>
    <w:p>
      <w:pPr>
        <w:pStyle w:val="Heading2"/>
      </w:pPr>
      <w:r>
        <w:t>预约审批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监督全院申请的审批节点、院区、实际审批人和办理状态。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查看申请详情、附件、当前节点和退回原因；正常业务应由对应部门主任或授权助理处理。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管理员不应替代部门日常审批，仅用于系统核查和异常协调。</w:t>
      </w:r>
    </w:p>
    <w:p>
      <w:pPr>
        <w:pStyle w:val="Heading2"/>
      </w:pPr>
      <w:r>
        <w:t>备案核验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用于查询历史核验结果、协助处理异常资料；不再作为T-01进入药学部的前置关卡。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需要协查时可打开核验助手，按备案号或“企业＋姓名”查询并保留截图；T-01正式核验结论由药学部审批人填写。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管理员不得因备案状态阻断T-01进入药学部；异常协查仍应保留时间、证据和操作人。</w:t>
      </w:r>
    </w:p>
    <w:p>
      <w:pPr>
        <w:pStyle w:val="Heading2"/>
      </w:pPr>
      <w:r>
        <w:t>入院核验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管理员查看保卫岗核验入口和流程状态。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用于监督入院、离院闭环；实际签到和签退应由对应院区保卫岗完成。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保卫岗分南北院，不能跨院区处理。</w:t>
      </w:r>
    </w:p>
    <w:p>
      <w:pPr>
        <w:pStyle w:val="Heading2"/>
      </w:pPr>
      <w:r>
        <w:t>接待台账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一目了然查询每次接待的人员、时间、部门、实际进出和证明材料。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按姓名、企业、接待人、证明编号、部门、状态和日期筛选；打开“查看证明”；补传照片或录音；打印或另存PDF。只有管理员可填写原因后删除台账。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普通岗位不能删除台账；管理员删除后原始数据和删除日志仍保留用于审计。</w:t>
      </w:r>
    </w:p>
    <w:p>
      <w:pPr>
        <w:pStyle w:val="Heading2"/>
      </w:pPr>
      <w:r>
        <w:t>岗位操作说明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查看系统根据管理员岗位自动匹配的操作说明。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在左侧点击后直接阅读登录检查、各菜单用途和标准操作步骤；也可打开完整在线手册或下载Word版本。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系统右上角书本图标同样会直接定位到管理员手册。</w:t>
      </w:r>
    </w:p>
    <w:p>
      <w:pPr>
        <w:pStyle w:val="Heading2"/>
      </w:pPr>
      <w:r>
        <w:t>企业档案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查询企业及来访人员历史备案、核验和来访记录。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按企业、人员或备案号检索，核对资料是否过期或发生变化。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企业、授权范围或有效期变化时，应重新人工核验。</w:t>
      </w:r>
    </w:p>
    <w:p>
      <w:pPr>
        <w:pStyle w:val="Heading2"/>
      </w:pPr>
      <w:r>
        <w:t>违规管理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预留不良行为、未预约来访、违规推销和黑名单管理入口。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当前版本用于模块占位，正式启用前由医院确认违规分类、处置权限和公示规则。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不要在未确认制度前自行录入或公开黑名单。</w:t>
      </w:r>
    </w:p>
    <w:p>
      <w:pPr>
        <w:pStyle w:val="Heading2"/>
      </w:pPr>
      <w:r>
        <w:t>系统配置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维护二维码、院内账号、审批权限、科室字典、院区范围和外部连接。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创建或编辑账号、绑定手机号、分配主任或授权助理；维护临床科室院区；下载访客二维码；检测国家平台连接；生成并下载完整系统备份。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5个职能审批部门必须设为全院通用；临床科室和保卫科必须分南北院。服务器每天备份，管理员每周还应下载一份保存到院外介质。</w:t>
      </w:r>
    </w:p>
    <w:p>
      <w:pPr>
        <w:pStyle w:val="Heading1"/>
      </w:pPr>
      <w:r>
        <w:t>4. 标准操作步骤</w:t>
      </w:r>
    </w:p>
    <w:p>
      <w:pPr>
        <w:pStyle w:val="Heading2"/>
      </w:pPr>
      <w:r>
        <w:t>步骤 1  处理新登记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进入“登记审核”，打开待核验人员，确认姓名、手机号、身份证号、单位名称和备案号填写正确；推广区域、产品类别、业务领域和拟访科室在具体申请单中查看。</w:t>
      </w:r>
    </w:p>
    <w:p>
      <w:pPr>
        <w:pStyle w:val="Heading2"/>
      </w:pPr>
      <w:r>
        <w:t>步骤 2  监督T-01直达药学部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T-01提交后应直接显示在药学部任务池。备案号、姓名、单位和证件资料由药学部审批人核对；管理员仅对异常资料进行协查。</w:t>
      </w:r>
    </w:p>
    <w:p>
      <w:pPr>
        <w:pStyle w:val="Heading2"/>
      </w:pPr>
      <w:r>
        <w:t>步骤 3  监督审批流转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在“预约审批”查看T-01至T-04的当前节点。T-03应先由所选临床科室审批，再由医务部（行风办）最终确认。</w:t>
      </w:r>
    </w:p>
    <w:p>
      <w:pPr>
        <w:pStyle w:val="Heading2"/>
      </w:pPr>
      <w:r>
        <w:t>步骤 4  检查进出闭环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确认对应院区保卫岗已登记实际入院和离院时间；跨院区操作会被系统拒绝。</w:t>
      </w:r>
    </w:p>
    <w:p>
      <w:pPr>
        <w:pStyle w:val="Heading2"/>
      </w:pPr>
      <w:r>
        <w:t>步骤 5  形成检查证明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进入“接待台账”查看审批、进出、接待确认和附件证据链，必要时打印或导出PDF。</w:t>
      </w:r>
    </w:p>
    <w:p>
      <w:pPr>
        <w:pStyle w:val="Heading2"/>
      </w:pPr>
      <w:r>
        <w:t>步骤 6  保存院外备份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每周进入“系统配置”，点击“生成并下载完整备份”，把备份包保存到医院文件服务器或加密移动硬盘，不要只留在同一台云服务器。</w:t>
      </w:r>
    </w:p>
    <w:p>
      <w:pPr>
        <w:pStyle w:val="Heading1"/>
      </w:pPr>
      <w:r>
        <w:t>5. 必须遵守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管理员账号不得与审批账号、保卫账号混用或多人共用。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新增人员时填写实际使用人；手机号可作为登录账号且必须唯一。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主任授权助理必须选择同部门主任并设置授权截止日期，日志仍记录实际审批人。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账号离岗后及时停用，不删除既有审批和审计记录。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定期检查每日自动备份是否成功，并至少保留一份不在云服务器上的备份副本。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初始密码由管理员单独交付，不在公共手册中展示；首次登录必须修改为至少8位且同时包含字母和数字的新密码。</w:t>
      </w:r>
    </w:p>
    <w:p>
      <w:pPr>
        <w:pStyle w:val="Heading1"/>
      </w:pPr>
      <w:r>
        <w:t>6. 常见问题与处理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看不到新账号：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刷新“系统配置”，确认账号为“在岗”。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职能部门显示北院或南院：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编辑账号并重新保存，系统会自动调整为“全院通用”。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国家平台无法访问：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先记录网络异常，继续使用人工查询，不得跳过核验直接放行。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证明中缺少时间：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确认南北院对应保卫岗是否完成签到和签退。</w:t>
      </w:r>
    </w:p>
    <w:p>
      <w:pPr>
        <w:pStyle w:val="Heading1"/>
      </w:pPr>
      <w:r>
        <w:t>7. 退出、交接与留痕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工作完成后使用页面右上角退出按钮离开系统，不要直接把已登录设备交给下一班人员。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岗位或院区发生变化时，由管理员调整账号权限；不得继续使用原岗位账号处理新岗位业务。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发现资料、审批、进出时间或附件异常时，立即联系管理员，并保留系统提示和现场情况说明。</w:t>
      </w:r>
    </w:p>
    <w:p>
      <w:pPr>
        <w:spacing w:before="280" w:after="0"/>
        <w:jc w:val="center"/>
      </w:pPr>
      <w:r>
        <w:rPr>
          <w:rFonts w:ascii="Arial Unicode MS" w:hAnsi="Arial Unicode MS" w:eastAsia="Arial Unicode MS"/>
          <w:b/>
          <w:i w:val="0"/>
          <w:color w:val="0B5F58"/>
          <w:sz w:val="20"/>
        </w:rPr>
        <w:t>正式系统：https://dfyy.allcxq.xyz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上海市东方医院    第 </w:t>
    </w:r>
    <w:r>
      <w:rPr>
        <w:rFonts w:ascii="Arial Unicode MS" w:hAnsi="Arial Unicode MS" w:eastAsia="Arial Unicode MS"/>
        <w:b w:val="0"/>
        <w:i w:val="0"/>
        <w:color w:val="667985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 Unicode MS" w:hAnsi="Arial Unicode MS" w:eastAsia="Arial Unicode MS"/>
        <w:b/>
        <w:i w:val="0"/>
        <w:color w:val="667985"/>
        <w:sz w:val="18"/>
      </w:rPr>
      <w:t>东方访客通  |  岗位操作手册</w:t>
    </w: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    系统管理员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 Unicode MS" w:hAnsi="Arial Unicode MS" w:eastAsia="Arial Unicode MS"/>
      <w:color w:val="173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系统管理员操作说明</dc:title>
  <dc:subject>东方访客通岗位操作说明</dc:subject>
  <dc:creator>上海市东方医院</dc:creator>
  <cp:keywords>医药来访, 操作手册, 东方访客通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