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60"/>
      </w:pPr>
    </w:p>
    <w:p>
      <w:pPr>
        <w:spacing w:after="260"/>
      </w:pPr>
    </w:p>
    <w:p>
      <w:pPr>
        <w:spacing w:after="260"/>
      </w:pPr>
    </w:p>
    <w:p>
      <w:pPr>
        <w:spacing w:after="260"/>
      </w:pPr>
    </w:p>
    <w:p>
      <w:pPr>
        <w:spacing w:after="260"/>
      </w:pPr>
    </w:p>
    <w:p>
      <w:pPr>
        <w:spacing w:after="360"/>
        <w:jc w:val="center"/>
      </w:pPr>
      <w:r>
        <w:rPr>
          <w:rFonts w:ascii="Arial Unicode MS" w:hAnsi="Arial Unicode MS" w:eastAsia="Arial Unicode MS"/>
          <w:b/>
          <w:i w:val="0"/>
          <w:color w:val="087F75"/>
          <w:sz w:val="22"/>
        </w:rPr>
        <w:t>上海市东方医院 · 东方访客通</w:t>
      </w:r>
    </w:p>
    <w:p>
      <w:pPr>
        <w:keepNext/>
        <w:spacing w:after="200"/>
        <w:jc w:val="center"/>
      </w:pPr>
      <w:r>
        <w:rPr>
          <w:rFonts w:ascii="Arial Unicode MS" w:hAnsi="Arial Unicode MS" w:eastAsia="Arial Unicode MS"/>
          <w:b/>
          <w:i w:val="0"/>
          <w:color w:val="173F4D"/>
          <w:sz w:val="56"/>
        </w:rPr>
        <w:t>职能部门审批人员操作说明</w:t>
      </w:r>
    </w:p>
    <w:p>
      <w:pPr>
        <w:spacing w:after="480"/>
        <w:jc w:val="center"/>
      </w:pPr>
      <w:r>
        <w:rPr>
          <w:rFonts w:ascii="Arial Unicode MS" w:hAnsi="Arial Unicode MS" w:eastAsia="Arial Unicode MS"/>
          <w:b w:val="0"/>
          <w:i w:val="0"/>
          <w:color w:val="1F4D78"/>
          <w:sz w:val="26"/>
        </w:rPr>
        <w:t>医务部（行风办）、药学部、采购管理办公室、科研管理部、GCP办公室主任及授权助理</w:t>
      </w:r>
    </w:p>
    <w:p>
      <w:pPr>
        <w:spacing w:after="440"/>
        <w:pBdr>
          <w:bottom w:val="single" w:sz="16" w:space="1" w:color="087F75"/>
        </w:pBdr>
      </w:pPr>
    </w:p>
    <w:p>
      <w:pPr>
        <w:spacing w:after="360"/>
        <w:ind w:left="648" w:right="648"/>
        <w:jc w:val="center"/>
      </w:pPr>
      <w:r>
        <w:rPr>
          <w:rFonts w:ascii="Arial Unicode MS" w:hAnsi="Arial Unicode MS" w:eastAsia="Arial Unicode MS"/>
          <w:b/>
          <w:i w:val="0"/>
          <w:color w:val="17313D"/>
          <w:sz w:val="24"/>
        </w:rPr>
        <w:t>全院通用（南北两院），只能处理本职能部门任务池内的申请。</w:t>
      </w:r>
    </w:p>
    <w:p>
      <w:pPr>
        <w:spacing w:after="0"/>
        <w:jc w:val="center"/>
      </w:pPr>
      <w:r>
        <w:rPr>
          <w:rFonts w:ascii="Arial Unicode MS" w:hAnsi="Arial Unicode MS" w:eastAsia="Arial Unicode MS"/>
          <w:b w:val="0"/>
          <w:i w:val="0"/>
          <w:color w:val="667985"/>
          <w:sz w:val="20"/>
        </w:rPr>
        <w:t>版本 V1.0  |  2026年7月  |  正式系统操作参考</w:t>
      </w:r>
    </w:p>
    <w:p>
      <w:r>
        <w:br w:type="page"/>
      </w:r>
    </w:p>
    <w:p>
      <w:pPr>
        <w:pStyle w:val="Heading1"/>
      </w:pPr>
      <w:r>
        <w:t>1. 岗位定位与登录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/>
          </w:tcPr>
          <w:p>
            <w:pPr>
              <w:spacing w:after="0"/>
            </w:pPr>
            <w:r>
              <w:rPr>
                <w:rFonts w:ascii="Arial Unicode MS" w:hAnsi="Arial Unicode MS" w:eastAsia="Arial Unicode MS"/>
                <w:b/>
                <w:i w:val="0"/>
                <w:color w:val="1F4D78"/>
                <w:sz w:val="21"/>
              </w:rPr>
              <w:t>适用人员</w:t>
            </w:r>
          </w:p>
        </w:tc>
        <w:tc>
          <w:tcPr>
            <w:tcW w:type="dxa" w:w="66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>
              <w:rPr>
                <w:rFonts w:ascii="Arial Unicode MS" w:hAnsi="Arial Unicode MS" w:eastAsia="Arial Unicode MS"/>
                <w:b w:val="0"/>
                <w:i w:val="0"/>
                <w:color w:val="17313D"/>
                <w:sz w:val="21"/>
              </w:rPr>
              <w:t>医务部（行风办）、药学部、采购管理办公室、科研管理部、GCP办公室主任及授权助理</w:t>
            </w:r>
          </w:p>
        </w:tc>
      </w:tr>
      <w:tr>
        <w:tc>
          <w:tcPr>
            <w:tcW w:type="dxa" w:w="2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/>
          </w:tcPr>
          <w:p>
            <w:pPr>
              <w:spacing w:after="0"/>
            </w:pPr>
            <w:r>
              <w:rPr>
                <w:rFonts w:ascii="Arial Unicode MS" w:hAnsi="Arial Unicode MS" w:eastAsia="Arial Unicode MS"/>
                <w:b/>
                <w:i w:val="0"/>
                <w:color w:val="1F4D78"/>
                <w:sz w:val="21"/>
              </w:rPr>
              <w:t>登录入口</w:t>
            </w:r>
          </w:p>
        </w:tc>
        <w:tc>
          <w:tcPr>
            <w:tcW w:type="dxa" w:w="66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4F6F9"/>
          </w:tcPr>
          <w:p>
            <w:pPr>
              <w:spacing w:after="0"/>
            </w:pPr>
            <w:r>
              <w:rPr>
                <w:rFonts w:ascii="Arial Unicode MS" w:hAnsi="Arial Unicode MS" w:eastAsia="Arial Unicode MS"/>
                <w:b w:val="0"/>
                <w:i w:val="0"/>
                <w:color w:val="17313D"/>
                <w:sz w:val="21"/>
              </w:rPr>
              <w:t>https://dfyy.allcxq.xyz/login</w:t>
            </w:r>
          </w:p>
        </w:tc>
      </w:tr>
      <w:tr>
        <w:tc>
          <w:tcPr>
            <w:tcW w:type="dxa" w:w="2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/>
          </w:tcPr>
          <w:p>
            <w:pPr>
              <w:spacing w:after="0"/>
            </w:pPr>
            <w:r>
              <w:rPr>
                <w:rFonts w:ascii="Arial Unicode MS" w:hAnsi="Arial Unicode MS" w:eastAsia="Arial Unicode MS"/>
                <w:b/>
                <w:i w:val="0"/>
                <w:color w:val="1F4D78"/>
                <w:sz w:val="21"/>
              </w:rPr>
              <w:t>登录方式</w:t>
            </w:r>
          </w:p>
        </w:tc>
        <w:tc>
          <w:tcPr>
            <w:tcW w:type="dxa" w:w="66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>
              <w:rPr>
                <w:rFonts w:ascii="Arial Unicode MS" w:hAnsi="Arial Unicode MS" w:eastAsia="Arial Unicode MS"/>
                <w:b w:val="0"/>
                <w:i w:val="0"/>
                <w:color w:val="17313D"/>
                <w:sz w:val="21"/>
              </w:rPr>
              <w:t>使用科室账号或已绑定手机号登录；初始密码由管理员单独交付，首次登录必须修改为至少8位且同时包含字母和数字的新密码。</w:t>
            </w:r>
          </w:p>
        </w:tc>
      </w:tr>
      <w:tr>
        <w:tc>
          <w:tcPr>
            <w:tcW w:type="dxa" w:w="2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/>
          </w:tcPr>
          <w:p>
            <w:pPr>
              <w:spacing w:after="0"/>
            </w:pPr>
            <w:r>
              <w:rPr>
                <w:rFonts w:ascii="Arial Unicode MS" w:hAnsi="Arial Unicode MS" w:eastAsia="Arial Unicode MS"/>
                <w:b/>
                <w:i w:val="0"/>
                <w:color w:val="1F4D78"/>
                <w:sz w:val="21"/>
              </w:rPr>
              <w:t>权限范围</w:t>
            </w:r>
          </w:p>
        </w:tc>
        <w:tc>
          <w:tcPr>
            <w:tcW w:type="dxa" w:w="66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4F6F9"/>
          </w:tcPr>
          <w:p>
            <w:pPr>
              <w:spacing w:after="0"/>
            </w:pPr>
            <w:r>
              <w:rPr>
                <w:rFonts w:ascii="Arial Unicode MS" w:hAnsi="Arial Unicode MS" w:eastAsia="Arial Unicode MS"/>
                <w:b w:val="0"/>
                <w:i w:val="0"/>
                <w:color w:val="17313D"/>
                <w:sz w:val="21"/>
              </w:rPr>
              <w:t>全院通用（南北两院），只能处理本职能部门任务池内的申请。</w:t>
            </w:r>
          </w:p>
        </w:tc>
      </w:tr>
    </w:tbl>
    <w:p>
      <w:pPr>
        <w:spacing w:after="40"/>
      </w:pPr>
    </w:p>
    <w:p>
      <w:pPr>
        <w:spacing w:after="100" w:line="300" w:lineRule="auto" w:before="80"/>
        <w:shd w:fill="E5F5F1"/>
        <w:ind w:left="144" w:right="144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首次登录安全要求：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临时密码由管理员单独交付，不在公共手册中展示。首次登录必须修改密码，新密码至少8位并同时包含字母和数字。</w:t>
      </w:r>
    </w:p>
    <w:p>
      <w:pPr>
        <w:pStyle w:val="Heading1"/>
      </w:pPr>
      <w:r>
        <w:t>2. 登录后先检查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确认顶部和左下角显示“全院通用（南北两院）”。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确认部门名称正确，不要使用其他部门账号代审。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查看申请卡片上的来访院区，审批结果会按该院区留痕。</w:t>
      </w:r>
    </w:p>
    <w:p>
      <w:pPr>
        <w:pStyle w:val="Heading1"/>
      </w:pPr>
      <w:r>
        <w:t>3. 左侧菜单说明</w:t>
      </w:r>
    </w:p>
    <w:p>
      <w:pPr>
        <w:pStyle w:val="Heading2"/>
      </w:pPr>
      <w:r>
        <w:t>预约审批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用途：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显示进入本部门任务池的全部南北院申请。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需要做什么：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打开申请卡片，查看来访人员、企业、备案号、院区、时间、拟接待人、活动内容和附件；根据情况点击通过、退回或拒绝。退回时可选择退回上一级审批科室，或直接退回申请人。</w:t>
      </w:r>
    </w:p>
    <w:p>
      <w:pPr>
        <w:spacing w:after="100" w:line="300" w:lineRule="auto" w:before="80"/>
        <w:shd w:fill="F4F6F9"/>
        <w:ind w:left="144" w:right="144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注意：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这是职能审批账号的当前待办菜单。实际操作人、时间、身份和授权来源会写入日志。</w:t>
      </w:r>
    </w:p>
    <w:p>
      <w:pPr>
        <w:pStyle w:val="Heading2"/>
      </w:pPr>
      <w:r>
        <w:t>我的台账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用途：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查询本职能部门已经处理过的全部历史申请和接待记录。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需要做什么：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按姓名、企业、接待人、证明编号、状态和日期筛选；打开记录查看实际审批人、审批意见、进出时间、审核牌和留证附件；可补传本部门相关照片或录音。</w:t>
      </w:r>
    </w:p>
    <w:p>
      <w:pPr>
        <w:spacing w:after="100" w:line="300" w:lineRule="auto" w:before="80"/>
        <w:shd w:fill="F4F6F9"/>
        <w:ind w:left="144" w:right="144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注意：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职能部门为全院通用，可查看南北两院本部门历史；不能查看其他部门台账，也不能删除台账。</w:t>
      </w:r>
    </w:p>
    <w:p>
      <w:pPr>
        <w:pStyle w:val="Heading2"/>
      </w:pPr>
      <w:r>
        <w:t>岗位操作说明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用途：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查看当前职能审批岗位的操作说明。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需要做什么：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在左侧点击后直接阅读登录检查、菜单用途、审批步骤和常见问题；也可打开完整在线手册或下载Word版本。</w:t>
      </w:r>
    </w:p>
    <w:p>
      <w:pPr>
        <w:spacing w:after="100" w:line="300" w:lineRule="auto" w:before="80"/>
        <w:shd w:fill="F4F6F9"/>
        <w:ind w:left="144" w:right="144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注意：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系统会根据当前部门自动匹配职能部门审批人员手册。</w:t>
      </w:r>
    </w:p>
    <w:p>
      <w:pPr>
        <w:pStyle w:val="Heading1"/>
      </w:pPr>
      <w:r>
        <w:t>4. 标准操作步骤</w:t>
      </w:r>
    </w:p>
    <w:p>
      <w:pPr>
        <w:pStyle w:val="Heading2"/>
      </w:pPr>
      <w:r>
        <w:t>步骤 1  进入任务池</w:t>
      </w:r>
    </w:p>
    <w:p>
      <w:pPr>
        <w:spacing w:after="14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登录后默认进入“部门审批任务池”。点击刷新可取得最新申请，先处理标有“等待本部门处理”的节点。</w:t>
      </w:r>
    </w:p>
    <w:p>
      <w:pPr>
        <w:pStyle w:val="Heading2"/>
      </w:pPr>
      <w:r>
        <w:t>步骤 2  核对申请内容</w:t>
      </w:r>
    </w:p>
    <w:p>
      <w:pPr>
        <w:spacing w:after="14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重点核对业务类型、来访院区、拟接待对象、活动内容、产品或课题、预约时间及随附材料。T-01申请由药学部同时核对备案号、姓名、单位及证件资料。</w:t>
      </w:r>
    </w:p>
    <w:p>
      <w:pPr>
        <w:pStyle w:val="Heading2"/>
      </w:pPr>
      <w:r>
        <w:t>步骤 3  作出审批决定</w:t>
      </w:r>
    </w:p>
    <w:p>
      <w:pPr>
        <w:spacing w:after="14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符合要求选择“通过”；资料可补正选择“退回”；明显不符合接待要求选择“拒绝”。退回时，选择“退回上一级审批科室”会让上一级重新核对并审批；选择“直接退回申请人”后，申请人可在原申请单修改并重新提交。不要仅凭电话口头同意而不在系统操作。</w:t>
      </w:r>
    </w:p>
    <w:p>
      <w:pPr>
        <w:pStyle w:val="Heading2"/>
      </w:pPr>
      <w:r>
        <w:t>步骤 4  确认后续节点</w:t>
      </w:r>
    </w:p>
    <w:p>
      <w:pPr>
        <w:spacing w:after="14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T-01提交后直接由药学部核对备案号和证件资料并完成业务审批，不经管理员前置核验；T-02由采购管理办公室完成，T-04由科研管理部或GCP办公室完成；T-03由临床科室先完成人员证件核验及时间地点确认，医务部（行风办）再进行最终合规审核并填写意见。</w:t>
      </w:r>
    </w:p>
    <w:p>
      <w:pPr>
        <w:pStyle w:val="Heading2"/>
      </w:pPr>
      <w:r>
        <w:t>步骤 5  复核审批日志</w:t>
      </w:r>
    </w:p>
    <w:p>
      <w:pPr>
        <w:spacing w:after="14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处理后确认节点显示已通过、已退回或已拒绝，并显示实际审批人。授权助理操作时同时保留授权主任信息。</w:t>
      </w:r>
    </w:p>
    <w:p>
      <w:pPr>
        <w:pStyle w:val="Heading1"/>
      </w:pPr>
      <w:r>
        <w:t>5. 必须遵守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五个职能部门账号均为全院权限，不分南北院。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主任或在有效授权期内的助理可以审批；普通工作人员只能查看。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审批前必须阅读申请详情和附件，不能只看标题。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发现申请院区、时间或接待对象不清，应退回补充，不要代访客修改关键事实。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退回上一级时，当前节点继续保留为后续待办；退回申请人时必须写清需要修改的具体内容。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审批账号不得转借，所有操作按实际登录人留痕。</w:t>
      </w:r>
    </w:p>
    <w:p>
      <w:pPr>
        <w:pStyle w:val="Heading1"/>
      </w:pPr>
      <w:r>
        <w:t>6. 常见问题与处理</w:t>
      </w:r>
    </w:p>
    <w:p>
      <w:pPr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看不到任务：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确认申请的业务类型是否进入本部门节点，然后点击刷新。T-01不需要等待管理员备案核验。</w:t>
      </w:r>
    </w:p>
    <w:p>
      <w:pPr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能看不能审批：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检查账号是主任、授权助理还是普通工作人员；授权助理还要检查授权期限。</w:t>
      </w:r>
    </w:p>
    <w:p>
      <w:pPr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只看到一个院区：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退出后重新登录，确认页面显示“全院通用（南北两院）”。</w:t>
      </w:r>
    </w:p>
    <w:p>
      <w:pPr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附件打不开：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联系管理员确认附件是否上传完成及账号是否仍在岗。</w:t>
      </w:r>
    </w:p>
    <w:p>
      <w:pPr>
        <w:pStyle w:val="Heading1"/>
      </w:pPr>
      <w:r>
        <w:t>7. 退出、交接与留痕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工作完成后使用页面右上角退出按钮离开系统，不要直接把已登录设备交给下一班人员。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岗位或院区发生变化时，由管理员调整账号权限；不得继续使用原岗位账号处理新岗位业务。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发现资料、审批、进出时间或附件异常时，立即联系管理员，并保留系统提示和现场情况说明。</w:t>
      </w:r>
    </w:p>
    <w:p>
      <w:pPr>
        <w:spacing w:before="280" w:after="0"/>
        <w:jc w:val="center"/>
      </w:pPr>
      <w:r>
        <w:rPr>
          <w:rFonts w:ascii="Arial Unicode MS" w:hAnsi="Arial Unicode MS" w:eastAsia="Arial Unicode MS"/>
          <w:b/>
          <w:i w:val="0"/>
          <w:color w:val="0B5F58"/>
          <w:sz w:val="20"/>
        </w:rPr>
        <w:t>正式系统：https://dfyy.allcxq.xyz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Arial Unicode MS" w:hAnsi="Arial Unicode MS" w:eastAsia="Arial Unicode MS"/>
        <w:b w:val="0"/>
        <w:i w:val="0"/>
        <w:color w:val="667985"/>
        <w:sz w:val="18"/>
      </w:rPr>
      <w:t xml:space="preserve">上海市东方医院    第 </w:t>
    </w:r>
    <w:r>
      <w:rPr>
        <w:rFonts w:ascii="Arial Unicode MS" w:hAnsi="Arial Unicode MS" w:eastAsia="Arial Unicode MS"/>
        <w:b w:val="0"/>
        <w:i w:val="0"/>
        <w:color w:val="667985"/>
        <w:sz w:val="18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 Unicode MS" w:hAnsi="Arial Unicode MS" w:eastAsia="Arial Unicode MS"/>
        <w:b w:val="0"/>
        <w:i w:val="0"/>
        <w:color w:val="667985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Arial Unicode MS" w:hAnsi="Arial Unicode MS" w:eastAsia="Arial Unicode MS"/>
        <w:b/>
        <w:i w:val="0"/>
        <w:color w:val="667985"/>
        <w:sz w:val="18"/>
      </w:rPr>
      <w:t>东方访客通  |  岗位操作手册</w:t>
    </w:r>
    <w:r>
      <w:rPr>
        <w:rFonts w:ascii="Arial Unicode MS" w:hAnsi="Arial Unicode MS" w:eastAsia="Arial Unicode MS"/>
        <w:b w:val="0"/>
        <w:i w:val="0"/>
        <w:color w:val="667985"/>
        <w:sz w:val="18"/>
      </w:rPr>
      <w:t xml:space="preserve">    职能部门审批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70"/>
        <w:spacing w:after="80" w:line="300" w:lineRule="auto"/>
      </w:p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  <w:spacing w:after="80" w:line="300" w:lineRule="auto"/>
      </w:p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Arial Unicode MS" w:hAnsi="Arial Unicode MS" w:eastAsia="Arial Unicode MS"/>
      <w:color w:val="173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职能部门审批人员操作说明</dc:title>
  <dc:subject>东方访客通岗位操作说明</dc:subject>
  <dc:creator>上海市东方医院</dc:creator>
  <cp:keywords>医药来访, 操作手册, 东方访客通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