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after="360"/>
        <w:jc w:val="center"/>
      </w:pPr>
      <w:r>
        <w:rPr>
          <w:rFonts w:ascii="Arial Unicode MS" w:hAnsi="Arial Unicode MS" w:eastAsia="Arial Unicode MS"/>
          <w:b/>
          <w:i w:val="0"/>
          <w:color w:val="087F75"/>
          <w:sz w:val="22"/>
        </w:rPr>
        <w:t>上海市东方医院 · 东方访客通</w:t>
      </w:r>
    </w:p>
    <w:p>
      <w:pPr>
        <w:keepNext/>
        <w:spacing w:after="200"/>
        <w:jc w:val="center"/>
      </w:pPr>
      <w:r>
        <w:rPr>
          <w:rFonts w:ascii="Arial Unicode MS" w:hAnsi="Arial Unicode MS" w:eastAsia="Arial Unicode MS"/>
          <w:b/>
          <w:i w:val="0"/>
          <w:color w:val="173F4D"/>
          <w:sz w:val="56"/>
        </w:rPr>
        <w:t>外部来访人员操作说明</w:t>
      </w:r>
    </w:p>
    <w:p>
      <w:pPr>
        <w:spacing w:after="480"/>
        <w:jc w:val="center"/>
      </w:pPr>
      <w:r>
        <w:rPr>
          <w:rFonts w:ascii="Arial Unicode MS" w:hAnsi="Arial Unicode MS" w:eastAsia="Arial Unicode MS"/>
          <w:b w:val="0"/>
          <w:i w:val="0"/>
          <w:color w:val="1F4D78"/>
          <w:sz w:val="26"/>
        </w:rPr>
        <w:t>医药生产经营企业代表、供应商及科研/GCP合作来访人员</w:t>
      </w:r>
    </w:p>
    <w:p>
      <w:pPr>
        <w:spacing w:after="440"/>
        <w:pBdr>
          <w:bottom w:val="single" w:sz="16" w:space="1" w:color="087F75"/>
        </w:pBdr>
      </w:pPr>
    </w:p>
    <w:p>
      <w:pPr>
        <w:spacing w:after="360"/>
        <w:ind w:left="648" w:right="648"/>
        <w:jc w:val="center"/>
      </w:pPr>
      <w:r>
        <w:rPr>
          <w:rFonts w:ascii="Arial Unicode MS" w:hAnsi="Arial Unicode MS" w:eastAsia="Arial Unicode MS"/>
          <w:b/>
          <w:i w:val="0"/>
          <w:color w:val="17313D"/>
          <w:sz w:val="24"/>
        </w:rPr>
        <w:t>注册个人和单位基本资料、提交来访申请、按部门退回意见修改原申请、在允许范围内撤回、取消或删除，并查看本人申请进度。</w:t>
      </w:r>
    </w:p>
    <w:p>
      <w:pPr>
        <w:spacing w:after="0"/>
        <w:jc w:val="center"/>
      </w:pPr>
      <w:r>
        <w:rPr>
          <w:rFonts w:ascii="Arial Unicode MS" w:hAnsi="Arial Unicode MS" w:eastAsia="Arial Unicode MS"/>
          <w:b w:val="0"/>
          <w:i w:val="0"/>
          <w:color w:val="667985"/>
          <w:sz w:val="20"/>
        </w:rPr>
        <w:t>版本 V1.0  |  2026年7月  |  正式系统操作参考</w:t>
      </w:r>
    </w:p>
    <w:p>
      <w:r>
        <w:br w:type="page"/>
      </w:r>
    </w:p>
    <w:p>
      <w:pPr>
        <w:pStyle w:val="Heading1"/>
      </w:pPr>
      <w:r>
        <w:t>1. 岗位定位与登录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适用人员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医药生产经营企业代表、供应商及科研/GCP合作来访人员</w:t>
            </w:r>
          </w:p>
        </w:tc>
      </w:tr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登录入口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4F6F9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https://dfyy.allcxq.xyz/apply</w:t>
            </w:r>
          </w:p>
        </w:tc>
      </w:tr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登录方式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扫描医院二维码，用本人手机号接收短信验证码；外部访客不使用医院后台账号和密码。</w:t>
            </w:r>
          </w:p>
        </w:tc>
      </w:tr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权限范围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4F6F9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注册个人和单位基本资料、提交来访申请、按部门退回意见修改原申请、在允许范围内撤回、取消或删除，并查看本人申请进度。</w:t>
            </w:r>
          </w:p>
        </w:tc>
      </w:tr>
    </w:tbl>
    <w:p>
      <w:pPr>
        <w:spacing w:after="40"/>
      </w:pPr>
    </w:p>
    <w:p>
      <w:pPr>
        <w:pStyle w:val="Heading1"/>
      </w:pPr>
      <w:r>
        <w:t>2. 登录后先检查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确认打开的是医院正式域名dfyy.allcxq.xyz。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使用来访者本人手机号获取验证码，同一手机号60秒内不可重复发送、每天最多3次。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首次使用先注册；再次来访验证手机号后可继续申请和查看进度。</w:t>
      </w:r>
    </w:p>
    <w:p>
      <w:pPr>
        <w:pStyle w:val="Heading1"/>
      </w:pPr>
      <w:r>
        <w:t>3. 手机页面入口与用途</w:t>
      </w:r>
    </w:p>
    <w:p>
      <w:pPr>
        <w:pStyle w:val="Heading2"/>
      </w:pPr>
      <w:r>
        <w:t>手机号验证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确认来访者本人手机身份。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输入11位手机号，获取并填写短信验证码。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不要把验证码告诉他人；收不到短信时先检查频次和手机拦截设置。</w:t>
      </w:r>
    </w:p>
    <w:p>
      <w:pPr>
        <w:pStyle w:val="Heading2"/>
      </w:pPr>
      <w:r>
        <w:t>首次来访注册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建立个人和单位基本档案。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一次性填写真实姓名、18位身份证号和单位完整名称；手机号已在前一步验证。医药代表备案号按实际情况填写，非药品业务可以不填。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身份证号、单位名称和备案号保存在基本信息中，后续申请自动带入；姓名和已验证手机号注册后不可修改。注册时不填写负责推广区域、产品类别、业务领域、拟访归口或二级临床科室。</w:t>
      </w:r>
    </w:p>
    <w:p>
      <w:pPr>
        <w:pStyle w:val="Heading2"/>
      </w:pPr>
      <w:r>
        <w:t>填写来访申请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选择本次来访业务、院区、日期、时段和接待对象。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身份证号、单位名称和备案号由基本信息自动带入，无需再次填写。每次申请只填写本次负责推广区域、产品或业务类别、治疗或业务领域，并选择T-01至T-04；T-03还要选择具体二级临床科室，T-04选择科研管理部或GCP办公室；再选择中国大陆工作日、整点一小时时段并详细填写活动内容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申请T-01药品业务前，必须先在“修改基本信息”中填写真实有效备案号；上午开放08:00—11:00，下午开放13:00—17:00，每次一小时。</w:t>
      </w:r>
    </w:p>
    <w:p>
      <w:pPr>
        <w:pStyle w:val="Heading2"/>
      </w:pPr>
      <w:r>
        <w:t>撤回、取消与删除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发现填写错误或本次来访计划变化时，由申请人自行停止尚未处理的申请。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下一审批节点尚未处理时，可撤回修改或取消；尚无部门审批通过时可以删除。审批部门直接退回申请人后，可在原申请单按意见修改并重新提交；只有此前尚无任何部门审批通过时，才可删除退回单后重新填写一张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医院后台会保留撤回、取消、删除、退回和重新提交的审计记录。只要已有任何部门审批通过，即使当前已直接退回申请人，系统也绝对不允许删除。</w:t>
      </w:r>
    </w:p>
    <w:p>
      <w:pPr>
        <w:pStyle w:val="Heading2"/>
        <w:pageBreakBefore/>
      </w:pPr>
      <w:r>
        <w:t>申请进度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查看临床证件核验、行风审批、审核牌发放回收和接待归档状态。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再次用本人手机号验证后进入申请页面，查看每个审批部门的进度、实际审批人和备注意见；通过后打开完整审批单。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当前二维码打开手机网页；正式微信小程序发布后可使用相同账号和数据查看。</w:t>
      </w:r>
    </w:p>
    <w:p>
      <w:pPr>
        <w:pStyle w:val="Heading1"/>
      </w:pPr>
      <w:r>
        <w:t>4. 标准操作步骤</w:t>
      </w:r>
    </w:p>
    <w:p>
      <w:pPr>
        <w:pStyle w:val="Heading2"/>
      </w:pPr>
      <w:r>
        <w:t>步骤 1  扫码并验证手机号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扫描医院发布的二维码，输入本人手机号和短信验证码。首次使用进入注册，已有档案直接进入申请。</w:t>
      </w:r>
    </w:p>
    <w:p>
      <w:pPr>
        <w:pStyle w:val="Heading2"/>
      </w:pPr>
      <w:r>
        <w:t>步骤 2  如实填写注册资料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一次性填写本人真实姓名、18位身份证号和单位完整名称，备案号按实际情况填写。后续申请自动带入这些基本信息，无需重复填写；姓名和已验证手机号注册后不可修改。负责推广区域、产品类别、业务领域和拟访科室不在注册阶段填写。</w:t>
      </w:r>
    </w:p>
    <w:p>
      <w:pPr>
        <w:pStyle w:val="Heading2"/>
      </w:pPr>
      <w:r>
        <w:t>步骤 3  选择正确业务流程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每次申请只填写负责推广区域、产品或业务类别、治疗或业务领域，身份证号、单位名称和备案号自动引用基本信息。T-01药品业务须先在基本信息中完善备案号；T-02选择医疗耗材与设备采购交流；到临床科室沟通工作选择T-03并指定二级临床科室；T-04选择科研合作与临床试验交流。再选择工作日及一小时时段。</w:t>
      </w:r>
    </w:p>
    <w:p>
      <w:pPr>
        <w:pStyle w:val="Heading2"/>
      </w:pPr>
      <w:r>
        <w:t>步骤 4  提交并等待审批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提交后查看当前节点、每个部门处理结果和备注意见。T-03先由临床科室人工核验证件并确认时间地点，再由行风办最终审核；行风办可退回临床科室重新审批，也可直接退回申请人。</w:t>
      </w:r>
    </w:p>
    <w:p>
      <w:pPr>
        <w:pStyle w:val="Heading2"/>
      </w:pPr>
      <w:r>
        <w:t>步骤 5  发现错误及时撤回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在下一审批节点处理前，可在“最近申请”点击“撤回并修改”，修改后重新提交；不再来访可取消，确认无需在本人端保留可选择删除。</w:t>
      </w:r>
    </w:p>
    <w:p>
      <w:pPr>
        <w:pStyle w:val="Heading2"/>
      </w:pPr>
      <w:r>
        <w:t>步骤 6  处理退回或按批准信息到院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如系统显示“申请人补充修改”，点击“按要求修改原单”，根据退回意见修改后重新提交，原申请编号不变且审批从第一节点重新开始；此前尚无部门审批通过时可删除后另填，已有部门审批通过时绝对不可删除。审批完成后打开“完整审批单”，按批准信息到院。</w:t>
      </w:r>
    </w:p>
    <w:p>
      <w:pPr>
        <w:pStyle w:val="Heading1"/>
      </w:pPr>
      <w:r>
        <w:t>5. 必须遵守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注册必须使用本人手机号和真实姓名，姓名及已验证手机号注册后不可修改；身份证号、单位名称和备案号可在基本信息中按实际情况维护。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从事药品方面工作或选择T-01药品业务交流前，必须先在基本信息中填写真实有效的医药代表备案号。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未经预约或审批未完成，不得进入医院开展相关业务。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仅可预约中国大陆周一至周五工作日，周末和法定节假日不开放；上午08:00—11:00、下午13:00—17:00，每次一小时。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严格按批准的时间、地点和人员接待，不得私自进入诊疗区域接触医务人员。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严禁推销非医药用品、赠送礼品礼金或开展申请内容之外的活动。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申请内容或时间发生变化时，应在下一节点审批前撤回修改；被直接退回申请人时应在原单按意见修改。只要已有任何部门审批通过，即使已退回申请人也不得删除审批记录。</w:t>
      </w:r>
    </w:p>
    <w:p>
      <w:pPr>
        <w:pStyle w:val="Heading1"/>
      </w:pPr>
      <w:r>
        <w:t>6. 常见问题与处理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收不到验证码：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确认手机号码、60秒间隔和每日3次上限，并检查垃圾短信拦截。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找不到临床科室：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先选择T-03和临床大类，再选择具体二级临床科室。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药品业务无法提交：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检查是否选择T-01并填写了真实备案号，同时确认身份证号、单位名称、负责推广区域、产品类别和业务领域完整。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T-01提交后未进入药学部：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先点击刷新；仍无进展时联系管理员检查流程，不需要等待管理员审核备案号。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收到退回意见：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进入“最近申请”，查看具体原因，点击“按要求修改原单”后修改接待人、日期、时段或活动内容并重新提交。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看不到删除按钮：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表示已有部门审批通过，系统为保护审批责任记录已锁定删除；退回申请人后也只能修改原单。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到院无法放行：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确认审批已最终通过、院区和预约时段正确，并出示本人身份证件。</w:t>
      </w:r>
    </w:p>
    <w:p>
      <w:pPr>
        <w:pStyle w:val="Heading1"/>
      </w:pPr>
      <w:r>
        <w:t>7. 退出与记录保留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每次操作均使用本人手机号验证；完成申请或查询后退出账号或关闭页面，不要把已验证页面交给他人使用。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申请提交后保留预约编号、审批状态和必要截图；申请内容、院区或时间变化时，应按要求补充或重新提交。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发现个人资料、申请状态、进出时间或附件异常时，及时联系医院管理员，并保留短信和页面提示。</w:t>
      </w:r>
    </w:p>
    <w:p>
      <w:pPr>
        <w:spacing w:before="280" w:after="0"/>
        <w:jc w:val="center"/>
      </w:pPr>
      <w:r>
        <w:rPr>
          <w:rFonts w:ascii="Arial Unicode MS" w:hAnsi="Arial Unicode MS" w:eastAsia="Arial Unicode MS"/>
          <w:b/>
          <w:i w:val="0"/>
          <w:color w:val="0B5F58"/>
          <w:sz w:val="20"/>
        </w:rPr>
        <w:t>正式系统：https://dfyy.allcxq.xyz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 Unicode MS" w:hAnsi="Arial Unicode MS" w:eastAsia="Arial Unicode MS"/>
        <w:b w:val="0"/>
        <w:i w:val="0"/>
        <w:color w:val="667985"/>
        <w:sz w:val="18"/>
      </w:rPr>
      <w:t xml:space="preserve">上海市东方医院    第 </w:t>
    </w:r>
    <w:r>
      <w:rPr>
        <w:rFonts w:ascii="Arial Unicode MS" w:hAnsi="Arial Unicode MS" w:eastAsia="Arial Unicode MS"/>
        <w:b w:val="0"/>
        <w:i w:val="0"/>
        <w:color w:val="667985"/>
        <w:sz w:val="18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 Unicode MS" w:hAnsi="Arial Unicode MS" w:eastAsia="Arial Unicode MS"/>
        <w:b w:val="0"/>
        <w:i w:val="0"/>
        <w:color w:val="667985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rial Unicode MS" w:hAnsi="Arial Unicode MS" w:eastAsia="Arial Unicode MS"/>
        <w:b/>
        <w:i w:val="0"/>
        <w:color w:val="667985"/>
        <w:sz w:val="18"/>
      </w:rPr>
      <w:t>东方访客通  |  岗位操作手册</w:t>
    </w:r>
    <w:r>
      <w:rPr>
        <w:rFonts w:ascii="Arial Unicode MS" w:hAnsi="Arial Unicode MS" w:eastAsia="Arial Unicode MS"/>
        <w:b w:val="0"/>
        <w:i w:val="0"/>
        <w:color w:val="667985"/>
        <w:sz w:val="18"/>
      </w:rPr>
      <w:t xml:space="preserve">    外部访客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 Unicode MS" w:hAnsi="Arial Unicode MS" w:eastAsia="Arial Unicode MS"/>
      <w:color w:val="173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外部来访人员操作说明</dc:title>
  <dc:subject>东方访客通岗位操作说明</dc:subject>
  <dc:creator>上海市东方医院</dc:creator>
  <cp:keywords>医药来访, 操作手册, 东方访客通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